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E79A" w14:textId="77777777" w:rsidR="00521DDA" w:rsidRPr="00521DDA" w:rsidRDefault="00521DDA" w:rsidP="00521DDA">
      <w:pPr>
        <w:spacing w:after="0" w:line="240" w:lineRule="auto"/>
        <w:jc w:val="center"/>
        <w:rPr>
          <w:rFonts w:ascii="Times New Roman" w:hAnsi="Times New Roman" w:cs="Times New Roman"/>
          <w:b/>
          <w:sz w:val="24"/>
          <w:szCs w:val="24"/>
        </w:rPr>
      </w:pPr>
      <w:r w:rsidRPr="00521DDA">
        <w:rPr>
          <w:rFonts w:ascii="Times New Roman" w:hAnsi="Times New Roman" w:cs="Times New Roman"/>
          <w:b/>
          <w:sz w:val="24"/>
          <w:szCs w:val="24"/>
        </w:rPr>
        <w:t>Пояснительная записка</w:t>
      </w:r>
    </w:p>
    <w:p w14:paraId="5DB9CBE5" w14:textId="3B78EE55" w:rsidR="00521DDA" w:rsidRPr="00521DDA" w:rsidRDefault="00521DDA" w:rsidP="00521DDA">
      <w:pPr>
        <w:spacing w:after="0" w:line="240" w:lineRule="auto"/>
        <w:jc w:val="center"/>
        <w:rPr>
          <w:rFonts w:ascii="Times New Roman" w:hAnsi="Times New Roman" w:cs="Times New Roman"/>
          <w:b/>
          <w:sz w:val="24"/>
          <w:szCs w:val="24"/>
        </w:rPr>
      </w:pPr>
      <w:r w:rsidRPr="00521DDA">
        <w:rPr>
          <w:rFonts w:ascii="Times New Roman" w:hAnsi="Times New Roman" w:cs="Times New Roman"/>
          <w:b/>
          <w:sz w:val="24"/>
          <w:szCs w:val="24"/>
        </w:rPr>
        <w:t xml:space="preserve">к проекту национального стандарта СТ РК </w:t>
      </w:r>
      <w:r w:rsidR="00873D01" w:rsidRPr="00873D01">
        <w:rPr>
          <w:rFonts w:ascii="Times New Roman" w:hAnsi="Times New Roman" w:cs="Times New Roman"/>
          <w:b/>
          <w:sz w:val="24"/>
          <w:szCs w:val="24"/>
        </w:rPr>
        <w:t>«</w:t>
      </w:r>
      <w:r w:rsidR="00395883" w:rsidRPr="00395883">
        <w:rPr>
          <w:rFonts w:ascii="Times New Roman" w:hAnsi="Times New Roman" w:cs="Times New Roman"/>
          <w:b/>
          <w:sz w:val="24"/>
          <w:szCs w:val="24"/>
        </w:rPr>
        <w:t>Судебно-наркологическое исследование. Термины и определения</w:t>
      </w:r>
      <w:r w:rsidR="00873D01" w:rsidRPr="00873D01">
        <w:rPr>
          <w:rFonts w:ascii="Times New Roman" w:hAnsi="Times New Roman" w:cs="Times New Roman"/>
          <w:b/>
          <w:sz w:val="24"/>
          <w:szCs w:val="24"/>
        </w:rPr>
        <w:t>»</w:t>
      </w:r>
    </w:p>
    <w:p w14:paraId="3BCFFEF0" w14:textId="77777777" w:rsidR="00521DDA" w:rsidRPr="00521DDA"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lang w:val="kk-KZ"/>
        </w:rPr>
      </w:pPr>
    </w:p>
    <w:p w14:paraId="3574027F" w14:textId="77777777" w:rsidR="00521DDA" w:rsidRPr="00521DDA"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rPr>
      </w:pPr>
      <w:r w:rsidRPr="00521DDA">
        <w:rPr>
          <w:rFonts w:ascii="Times New Roman" w:hAnsi="Times New Roman" w:cs="Times New Roman"/>
          <w:b/>
          <w:spacing w:val="-6"/>
          <w:sz w:val="24"/>
          <w:szCs w:val="24"/>
          <w:lang w:val="kk-KZ"/>
        </w:rPr>
        <w:t xml:space="preserve">1 </w:t>
      </w:r>
      <w:r w:rsidRPr="00521DDA">
        <w:rPr>
          <w:rFonts w:ascii="Times New Roman" w:hAnsi="Times New Roman" w:cs="Times New Roman"/>
          <w:b/>
          <w:spacing w:val="-6"/>
          <w:sz w:val="24"/>
          <w:szCs w:val="24"/>
        </w:rPr>
        <w:t>Техническое обоснование разработки стандарта</w:t>
      </w:r>
    </w:p>
    <w:p w14:paraId="3E909CA7" w14:textId="77777777" w:rsidR="00521DDA" w:rsidRPr="004C0E0F"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rPr>
      </w:pPr>
    </w:p>
    <w:p w14:paraId="28DE7951"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Необходимость разработки данного стандарта продиктована производственной необходимостью и выполнением задачи устойчивого развития в области судебной экспертизы путем разработок национальных стандартов.</w:t>
      </w:r>
    </w:p>
    <w:p w14:paraId="79E0D15E"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 xml:space="preserve">Судебно-наркологическая экспертиза в отношении лиц, содержащихся под стражей, проводится в местах нахождения указанных лиц (следственные изоляторы, изоляторы временного содержания), а также в кабинете эксперта при наличии условий, необходимых для проведения исследований. </w:t>
      </w:r>
    </w:p>
    <w:p w14:paraId="40CD0526"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 xml:space="preserve">Однозначность понятий в области судебной наркологии имеет решающее значение, принимая во внимание соответствующие последствия, которые могут возникнуть в результате различного толкования понятий при проведении исследований. </w:t>
      </w:r>
    </w:p>
    <w:p w14:paraId="144B6257"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Термины и определения обеспечивают пользователям структурированный подход и способствует единообразное применение терминов и определений при производстве экспертных исследований.</w:t>
      </w:r>
    </w:p>
    <w:p w14:paraId="2B086DC9"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Кроме того, система понятий и концептуальное представление терминологических данных будут полезны для любого пользователя, поскольку это будет способствовать четкому, точному взаимопониманию в деятельности всех заинтересованных участников, специализирующихся в области судебной гистологии, а также формированию и совершенствованию нормативно-технической базы.</w:t>
      </w:r>
    </w:p>
    <w:p w14:paraId="7D688B1D"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 xml:space="preserve">Термины, устанавливаемые настоящими стандартами, рекомендуются для применения в экспертных исследованиях. </w:t>
      </w:r>
    </w:p>
    <w:p w14:paraId="2EADC23C"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Стандарты предназначены для применения судебными экспертами, осуществляющими производство судебно-экспертных исследований, сотрудникам научных организаций, а также другим заинтересованным лицам.</w:t>
      </w:r>
    </w:p>
    <w:p w14:paraId="5B014472" w14:textId="77777777" w:rsidR="00395883" w:rsidRPr="00395883"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Какие-либо национальные стандарты по вышеуказанным видам отсутствуют.</w:t>
      </w:r>
    </w:p>
    <w:p w14:paraId="4D18686C" w14:textId="5AABC2A6" w:rsidR="00A9511B" w:rsidRPr="004C0E0F" w:rsidRDefault="00395883" w:rsidP="00395883">
      <w:pPr>
        <w:pStyle w:val="3"/>
        <w:ind w:firstLine="567"/>
        <w:jc w:val="both"/>
        <w:rPr>
          <w:rFonts w:eastAsiaTheme="minorEastAsia"/>
          <w:b w:val="0"/>
          <w:i w:val="0"/>
          <w:sz w:val="24"/>
          <w:szCs w:val="24"/>
        </w:rPr>
      </w:pPr>
      <w:r w:rsidRPr="00395883">
        <w:rPr>
          <w:rFonts w:eastAsiaTheme="minorEastAsia"/>
          <w:b w:val="0"/>
          <w:i w:val="0"/>
          <w:sz w:val="24"/>
          <w:szCs w:val="24"/>
        </w:rPr>
        <w:t>Заявителем настоящих стандартов является Технический комитет (ТК) № 105 в области судебно-экспертной деятельности и смежных областях «Судебная экспертиза»</w:t>
      </w:r>
    </w:p>
    <w:p w14:paraId="14B0D5BA" w14:textId="77777777" w:rsidR="00873D01" w:rsidRDefault="00873D01" w:rsidP="00A9511B">
      <w:pPr>
        <w:pStyle w:val="3"/>
        <w:ind w:firstLine="567"/>
        <w:jc w:val="both"/>
        <w:rPr>
          <w:i w:val="0"/>
          <w:sz w:val="24"/>
          <w:szCs w:val="24"/>
        </w:rPr>
      </w:pPr>
    </w:p>
    <w:p w14:paraId="467C3339" w14:textId="63D24513" w:rsidR="00521DDA" w:rsidRPr="004C0E0F" w:rsidRDefault="00521DDA" w:rsidP="00A9511B">
      <w:pPr>
        <w:pStyle w:val="3"/>
        <w:ind w:firstLine="567"/>
        <w:jc w:val="both"/>
        <w:rPr>
          <w:i w:val="0"/>
          <w:sz w:val="24"/>
          <w:szCs w:val="24"/>
        </w:rPr>
      </w:pPr>
      <w:r w:rsidRPr="004C0E0F">
        <w:rPr>
          <w:i w:val="0"/>
          <w:sz w:val="24"/>
          <w:szCs w:val="24"/>
        </w:rPr>
        <w:t xml:space="preserve">2 Основание для разработки стандарта </w:t>
      </w:r>
    </w:p>
    <w:p w14:paraId="25C5E0D5" w14:textId="77777777" w:rsidR="00521DDA" w:rsidRPr="004C0E0F" w:rsidRDefault="00521DDA" w:rsidP="00521DDA">
      <w:pPr>
        <w:pStyle w:val="3"/>
        <w:ind w:firstLine="567"/>
        <w:jc w:val="both"/>
        <w:rPr>
          <w:i w:val="0"/>
          <w:sz w:val="24"/>
          <w:szCs w:val="24"/>
        </w:rPr>
      </w:pPr>
    </w:p>
    <w:p w14:paraId="3C386781" w14:textId="77777777" w:rsidR="00DA208B" w:rsidRPr="00DA208B" w:rsidRDefault="00DA208B" w:rsidP="00DA208B">
      <w:pPr>
        <w:pStyle w:val="1"/>
        <w:ind w:firstLine="567"/>
        <w:jc w:val="both"/>
        <w:rPr>
          <w:rFonts w:eastAsiaTheme="minorEastAsia"/>
          <w:sz w:val="24"/>
          <w:szCs w:val="24"/>
        </w:rPr>
      </w:pPr>
      <w:r w:rsidRPr="00DA208B">
        <w:rPr>
          <w:rFonts w:eastAsiaTheme="minorEastAsia"/>
          <w:sz w:val="24"/>
          <w:szCs w:val="24"/>
        </w:rPr>
        <w:t>Национальный план стандартизации на 2023 год (утвержден приказом Председателя Комитета технического регулирования и метрологии Министерства торговли и интеграции Республики Казахстан от «20» декабря 2022 года №433-НҚ).</w:t>
      </w:r>
    </w:p>
    <w:p w14:paraId="598CBC79" w14:textId="3900326F" w:rsidR="00A9511B" w:rsidRDefault="00DA208B" w:rsidP="00DA208B">
      <w:pPr>
        <w:pStyle w:val="1"/>
        <w:ind w:firstLine="567"/>
        <w:jc w:val="both"/>
        <w:rPr>
          <w:rFonts w:eastAsiaTheme="minorEastAsia"/>
          <w:sz w:val="24"/>
          <w:szCs w:val="24"/>
        </w:rPr>
      </w:pPr>
      <w:r w:rsidRPr="00DA208B">
        <w:rPr>
          <w:rFonts w:eastAsiaTheme="minorEastAsia"/>
          <w:sz w:val="24"/>
          <w:szCs w:val="24"/>
        </w:rPr>
        <w:t>Организация, предоставившая заявку в Национальный план стандартизации на 2023 год, – РГКП «Центр судебных экспертиз МЮ РК».</w:t>
      </w:r>
    </w:p>
    <w:p w14:paraId="78F5BA16" w14:textId="77777777" w:rsidR="00DA208B" w:rsidRPr="004C0E0F" w:rsidRDefault="00DA208B" w:rsidP="00DA208B">
      <w:pPr>
        <w:pStyle w:val="1"/>
        <w:ind w:firstLine="567"/>
        <w:jc w:val="both"/>
        <w:rPr>
          <w:b/>
          <w:sz w:val="24"/>
          <w:szCs w:val="24"/>
        </w:rPr>
      </w:pPr>
    </w:p>
    <w:p w14:paraId="0FD36858" w14:textId="48A0BD58" w:rsidR="00521DDA" w:rsidRPr="004C0E0F" w:rsidRDefault="00521DDA" w:rsidP="00521DDA">
      <w:pPr>
        <w:pStyle w:val="1"/>
        <w:ind w:firstLine="567"/>
        <w:jc w:val="both"/>
        <w:rPr>
          <w:b/>
          <w:sz w:val="24"/>
          <w:szCs w:val="24"/>
        </w:rPr>
      </w:pPr>
      <w:r w:rsidRPr="004C0E0F">
        <w:rPr>
          <w:b/>
          <w:sz w:val="24"/>
          <w:szCs w:val="24"/>
        </w:rPr>
        <w:t>3 Характеристика объекта стандартизации</w:t>
      </w:r>
    </w:p>
    <w:p w14:paraId="3C56A24E" w14:textId="77777777" w:rsidR="00521DDA" w:rsidRPr="004C0E0F" w:rsidRDefault="00521DDA" w:rsidP="00521DDA">
      <w:pPr>
        <w:tabs>
          <w:tab w:val="left" w:pos="567"/>
        </w:tabs>
        <w:spacing w:after="0" w:line="240" w:lineRule="auto"/>
        <w:ind w:firstLine="567"/>
        <w:jc w:val="both"/>
        <w:rPr>
          <w:rFonts w:ascii="Times New Roman" w:hAnsi="Times New Roman" w:cs="Times New Roman"/>
          <w:sz w:val="24"/>
          <w:szCs w:val="24"/>
        </w:rPr>
      </w:pPr>
    </w:p>
    <w:p w14:paraId="6F43AB82" w14:textId="54E81E98" w:rsidR="005D027C" w:rsidRDefault="005D027C" w:rsidP="005D027C">
      <w:pPr>
        <w:pStyle w:val="1"/>
        <w:ind w:firstLine="567"/>
        <w:jc w:val="both"/>
        <w:rPr>
          <w:rFonts w:eastAsiaTheme="minorEastAsia"/>
          <w:sz w:val="24"/>
          <w:szCs w:val="24"/>
        </w:rPr>
      </w:pPr>
      <w:r w:rsidRPr="005D027C">
        <w:rPr>
          <w:rFonts w:eastAsiaTheme="minorEastAsia"/>
          <w:sz w:val="24"/>
          <w:szCs w:val="24"/>
        </w:rPr>
        <w:t>Настоящие стандарты устанавливают термины и определения, способствуют установлению единых представлений и однозначных понятий, применяемых в области экспертного исследования.</w:t>
      </w:r>
    </w:p>
    <w:p w14:paraId="2EA79574" w14:textId="77777777" w:rsidR="005D027C" w:rsidRPr="004C0E0F" w:rsidRDefault="005D027C" w:rsidP="005D027C">
      <w:pPr>
        <w:pStyle w:val="1"/>
        <w:ind w:firstLine="567"/>
        <w:jc w:val="both"/>
        <w:rPr>
          <w:b/>
          <w:sz w:val="24"/>
          <w:szCs w:val="24"/>
        </w:rPr>
      </w:pPr>
    </w:p>
    <w:p w14:paraId="70AA81BF" w14:textId="48089371" w:rsidR="00521DDA" w:rsidRPr="004C0E0F" w:rsidRDefault="00521DDA" w:rsidP="00521DDA">
      <w:pPr>
        <w:pStyle w:val="1"/>
        <w:ind w:firstLine="567"/>
        <w:jc w:val="both"/>
        <w:rPr>
          <w:b/>
          <w:sz w:val="24"/>
          <w:szCs w:val="24"/>
        </w:rPr>
      </w:pPr>
      <w:r w:rsidRPr="004C0E0F">
        <w:rPr>
          <w:b/>
          <w:sz w:val="24"/>
          <w:szCs w:val="24"/>
        </w:rPr>
        <w:t>4 Сведения о взаимосвязи проекта стандарта с техническими регламентами и документами по стандартизации</w:t>
      </w:r>
    </w:p>
    <w:p w14:paraId="0F4BF3E9" w14:textId="77777777" w:rsidR="00A9511B" w:rsidRPr="004C0E0F" w:rsidRDefault="00A9511B" w:rsidP="00A9511B">
      <w:pPr>
        <w:pStyle w:val="1"/>
        <w:jc w:val="both"/>
        <w:rPr>
          <w:sz w:val="24"/>
          <w:szCs w:val="24"/>
        </w:rPr>
      </w:pPr>
    </w:p>
    <w:p w14:paraId="0B942B35" w14:textId="47F695D2" w:rsidR="0053334B" w:rsidRPr="004C0E0F" w:rsidRDefault="005D027C" w:rsidP="00521DDA">
      <w:pPr>
        <w:pStyle w:val="a3"/>
        <w:ind w:firstLine="567"/>
        <w:jc w:val="both"/>
        <w:rPr>
          <w:rFonts w:ascii="Times New Roman" w:hAnsi="Times New Roman" w:cs="Times New Roman"/>
          <w:b/>
          <w:sz w:val="24"/>
          <w:szCs w:val="24"/>
        </w:rPr>
      </w:pPr>
      <w:r w:rsidRPr="005D027C">
        <w:rPr>
          <w:rFonts w:ascii="Times New Roman" w:eastAsia="Times New Roman" w:hAnsi="Times New Roman" w:cs="Times New Roman"/>
          <w:sz w:val="24"/>
          <w:szCs w:val="24"/>
        </w:rPr>
        <w:t>Настоящие стандарты взаимосвязаны с законодательством Республики Казахстан о судебно-экспертной деятельности.</w:t>
      </w:r>
    </w:p>
    <w:p w14:paraId="4D9143C9" w14:textId="6F284470" w:rsidR="00521DDA" w:rsidRPr="004C0E0F" w:rsidRDefault="00521DDA" w:rsidP="00521DDA">
      <w:pPr>
        <w:pStyle w:val="a3"/>
        <w:ind w:firstLine="567"/>
        <w:jc w:val="both"/>
        <w:rPr>
          <w:rFonts w:ascii="Times New Roman" w:hAnsi="Times New Roman" w:cs="Times New Roman"/>
          <w:b/>
          <w:sz w:val="24"/>
          <w:szCs w:val="24"/>
        </w:rPr>
      </w:pPr>
      <w:r w:rsidRPr="004C0E0F">
        <w:rPr>
          <w:rFonts w:ascii="Times New Roman" w:hAnsi="Times New Roman" w:cs="Times New Roman"/>
          <w:b/>
          <w:sz w:val="24"/>
          <w:szCs w:val="24"/>
        </w:rPr>
        <w:lastRenderedPageBreak/>
        <w:t>5 Предполагаемые пользователи стандарта</w:t>
      </w:r>
    </w:p>
    <w:p w14:paraId="58E24957" w14:textId="77777777" w:rsidR="00521DDA" w:rsidRPr="004C0E0F" w:rsidRDefault="00521DDA" w:rsidP="00521DDA">
      <w:pPr>
        <w:pStyle w:val="a3"/>
        <w:ind w:firstLine="567"/>
        <w:jc w:val="both"/>
        <w:rPr>
          <w:rFonts w:ascii="Times New Roman" w:hAnsi="Times New Roman" w:cs="Times New Roman"/>
          <w:b/>
          <w:sz w:val="24"/>
          <w:szCs w:val="24"/>
        </w:rPr>
      </w:pPr>
    </w:p>
    <w:p w14:paraId="339F2892" w14:textId="77777777" w:rsidR="005D027C" w:rsidRDefault="005D027C" w:rsidP="0053334B">
      <w:pPr>
        <w:widowControl w:val="0"/>
        <w:autoSpaceDE w:val="0"/>
        <w:autoSpaceDN w:val="0"/>
        <w:adjustRightInd w:val="0"/>
        <w:ind w:firstLine="567"/>
        <w:jc w:val="both"/>
        <w:rPr>
          <w:rFonts w:ascii="Times New Roman" w:hAnsi="Times New Roman" w:cs="Times New Roman"/>
          <w:bCs/>
          <w:sz w:val="24"/>
          <w:szCs w:val="24"/>
          <w:lang w:eastAsia="en-US"/>
        </w:rPr>
      </w:pPr>
      <w:r w:rsidRPr="005D027C">
        <w:rPr>
          <w:rFonts w:ascii="Times New Roman" w:hAnsi="Times New Roman" w:cs="Times New Roman"/>
          <w:bCs/>
          <w:sz w:val="24"/>
          <w:szCs w:val="24"/>
          <w:lang w:eastAsia="en-US"/>
        </w:rPr>
        <w:t>Возможными пользователями данного стандарта являются Генеральная прокуратура РК, Комитет национальной безопасности Республики Казахстан, Министерство внутренних дел Республики Казахстан, Служба экономических расследований АФМ РК, Республиканское государственное казенное предприятие «Центр судебных экспертиз Министерства юстиции Республики Казахстан, Палата судебных экспертов Республики Казахстан, Республиканская коллегия адвокатов и др.</w:t>
      </w:r>
    </w:p>
    <w:p w14:paraId="64616967" w14:textId="4726B94A" w:rsidR="00521DDA" w:rsidRPr="0053334B" w:rsidRDefault="00521DDA" w:rsidP="0053334B">
      <w:pPr>
        <w:widowControl w:val="0"/>
        <w:autoSpaceDE w:val="0"/>
        <w:autoSpaceDN w:val="0"/>
        <w:adjustRightInd w:val="0"/>
        <w:ind w:firstLine="567"/>
        <w:jc w:val="both"/>
        <w:rPr>
          <w:rFonts w:ascii="Times New Roman" w:hAnsi="Times New Roman" w:cs="Times New Roman"/>
          <w:b/>
          <w:sz w:val="24"/>
          <w:szCs w:val="24"/>
        </w:rPr>
      </w:pPr>
      <w:r w:rsidRPr="004C0E0F">
        <w:rPr>
          <w:rFonts w:ascii="Times New Roman" w:hAnsi="Times New Roman" w:cs="Times New Roman"/>
          <w:b/>
          <w:sz w:val="24"/>
          <w:szCs w:val="24"/>
        </w:rPr>
        <w:t>6 Сведения о рассылке проекта стандарта на согласование</w:t>
      </w:r>
    </w:p>
    <w:p w14:paraId="3ED98A99" w14:textId="72B0749B" w:rsidR="00521DDA" w:rsidRDefault="00DA208B" w:rsidP="00521DDA">
      <w:pPr>
        <w:pStyle w:val="2"/>
        <w:tabs>
          <w:tab w:val="left" w:pos="851"/>
        </w:tabs>
        <w:ind w:firstLine="567"/>
        <w:jc w:val="both"/>
        <w:rPr>
          <w:rFonts w:eastAsiaTheme="minorEastAsia"/>
          <w:sz w:val="24"/>
          <w:szCs w:val="24"/>
        </w:rPr>
      </w:pPr>
      <w:r w:rsidRPr="00DA208B">
        <w:rPr>
          <w:rFonts w:eastAsiaTheme="minorEastAsia"/>
          <w:sz w:val="24"/>
          <w:szCs w:val="24"/>
        </w:rPr>
        <w:t>Проект стандарта будет направлен на согласование всем заинтересованным государственным органам, организациям и ассоциациям, НПП РК «Атамекен», техническим комитетам, органам по подтверждению соответствия.</w:t>
      </w:r>
    </w:p>
    <w:p w14:paraId="365F55FA" w14:textId="77777777" w:rsidR="00DA208B" w:rsidRPr="004C0E0F" w:rsidRDefault="00DA208B" w:rsidP="00521DDA">
      <w:pPr>
        <w:pStyle w:val="2"/>
        <w:tabs>
          <w:tab w:val="left" w:pos="851"/>
        </w:tabs>
        <w:ind w:firstLine="567"/>
        <w:jc w:val="both"/>
        <w:rPr>
          <w:b/>
          <w:sz w:val="24"/>
          <w:szCs w:val="24"/>
        </w:rPr>
      </w:pPr>
    </w:p>
    <w:p w14:paraId="3AA6E7B3" w14:textId="77777777" w:rsidR="00521DDA" w:rsidRDefault="00521DDA" w:rsidP="00521DDA">
      <w:pPr>
        <w:pStyle w:val="2"/>
        <w:tabs>
          <w:tab w:val="left" w:pos="851"/>
        </w:tabs>
        <w:ind w:firstLine="567"/>
        <w:jc w:val="both"/>
        <w:rPr>
          <w:b/>
          <w:sz w:val="24"/>
          <w:szCs w:val="24"/>
        </w:rPr>
      </w:pPr>
      <w:r w:rsidRPr="004C0E0F">
        <w:rPr>
          <w:b/>
          <w:sz w:val="24"/>
          <w:szCs w:val="24"/>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34D2F98C" w14:textId="77777777" w:rsidR="00D74119" w:rsidRPr="004C0E0F" w:rsidRDefault="00D74119" w:rsidP="00521DDA">
      <w:pPr>
        <w:pStyle w:val="2"/>
        <w:tabs>
          <w:tab w:val="left" w:pos="851"/>
        </w:tabs>
        <w:ind w:firstLine="567"/>
        <w:jc w:val="both"/>
        <w:rPr>
          <w:b/>
          <w:sz w:val="24"/>
          <w:szCs w:val="24"/>
        </w:rPr>
      </w:pPr>
    </w:p>
    <w:p w14:paraId="301388E2" w14:textId="4411E3C2" w:rsidR="00521DDA" w:rsidRPr="00D74119" w:rsidRDefault="00D74119" w:rsidP="00521DDA">
      <w:pPr>
        <w:pStyle w:val="2"/>
        <w:tabs>
          <w:tab w:val="left" w:pos="851"/>
        </w:tabs>
        <w:ind w:firstLine="567"/>
        <w:jc w:val="both"/>
        <w:rPr>
          <w:bCs/>
          <w:sz w:val="24"/>
          <w:szCs w:val="24"/>
          <w:lang w:val="kk-KZ"/>
        </w:rPr>
      </w:pPr>
      <w:r w:rsidRPr="00D74119">
        <w:rPr>
          <w:bCs/>
          <w:sz w:val="24"/>
          <w:szCs w:val="24"/>
          <w:lang w:val="kk-KZ"/>
        </w:rPr>
        <w:t>Настоящий стандарт разработан на основе с учетом:</w:t>
      </w:r>
    </w:p>
    <w:p w14:paraId="17777679" w14:textId="77777777" w:rsidR="00DA208B" w:rsidRPr="00DA208B" w:rsidRDefault="00DA208B" w:rsidP="00DA208B">
      <w:pPr>
        <w:pStyle w:val="2"/>
        <w:tabs>
          <w:tab w:val="left" w:pos="851"/>
        </w:tabs>
        <w:ind w:firstLine="567"/>
        <w:jc w:val="both"/>
        <w:rPr>
          <w:bCs/>
          <w:sz w:val="24"/>
          <w:szCs w:val="24"/>
        </w:rPr>
      </w:pPr>
      <w:proofErr w:type="spellStart"/>
      <w:r w:rsidRPr="00DA208B">
        <w:rPr>
          <w:bCs/>
          <w:sz w:val="24"/>
          <w:szCs w:val="24"/>
        </w:rPr>
        <w:t>Байзолданов</w:t>
      </w:r>
      <w:proofErr w:type="spellEnd"/>
      <w:r w:rsidRPr="00DA208B">
        <w:rPr>
          <w:bCs/>
          <w:sz w:val="24"/>
          <w:szCs w:val="24"/>
        </w:rPr>
        <w:t xml:space="preserve"> Т. Токсикологическая химия: учебник / Т. </w:t>
      </w:r>
      <w:proofErr w:type="spellStart"/>
      <w:r w:rsidRPr="00DA208B">
        <w:rPr>
          <w:bCs/>
          <w:sz w:val="24"/>
          <w:szCs w:val="24"/>
        </w:rPr>
        <w:t>Байзолданов</w:t>
      </w:r>
      <w:proofErr w:type="spellEnd"/>
      <w:r w:rsidRPr="00DA208B">
        <w:rPr>
          <w:bCs/>
          <w:sz w:val="24"/>
          <w:szCs w:val="24"/>
        </w:rPr>
        <w:t xml:space="preserve"> - Алматы: </w:t>
      </w:r>
      <w:proofErr w:type="spellStart"/>
      <w:r w:rsidRPr="00DA208B">
        <w:rPr>
          <w:bCs/>
          <w:sz w:val="24"/>
          <w:szCs w:val="24"/>
        </w:rPr>
        <w:t>Эверо</w:t>
      </w:r>
      <w:proofErr w:type="spellEnd"/>
      <w:r w:rsidRPr="00DA208B">
        <w:rPr>
          <w:bCs/>
          <w:sz w:val="24"/>
          <w:szCs w:val="24"/>
        </w:rPr>
        <w:t>, 2021.-252 с. ISBN 978-601-310-684-7</w:t>
      </w:r>
    </w:p>
    <w:p w14:paraId="5D08B754" w14:textId="77777777" w:rsidR="00DA208B" w:rsidRPr="00DA208B" w:rsidRDefault="00DA208B" w:rsidP="00DA208B">
      <w:pPr>
        <w:pStyle w:val="2"/>
        <w:tabs>
          <w:tab w:val="left" w:pos="851"/>
        </w:tabs>
        <w:ind w:firstLine="567"/>
        <w:jc w:val="both"/>
        <w:rPr>
          <w:bCs/>
          <w:sz w:val="24"/>
          <w:szCs w:val="24"/>
        </w:rPr>
      </w:pPr>
      <w:proofErr w:type="spellStart"/>
      <w:r w:rsidRPr="00DA208B">
        <w:rPr>
          <w:bCs/>
          <w:sz w:val="24"/>
          <w:szCs w:val="24"/>
        </w:rPr>
        <w:t>Люлльман</w:t>
      </w:r>
      <w:proofErr w:type="spellEnd"/>
      <w:r w:rsidRPr="00DA208B">
        <w:rPr>
          <w:bCs/>
          <w:sz w:val="24"/>
          <w:szCs w:val="24"/>
        </w:rPr>
        <w:t xml:space="preserve">, Х. Фармакология. Атлас / Х. </w:t>
      </w:r>
      <w:proofErr w:type="spellStart"/>
      <w:r w:rsidRPr="00DA208B">
        <w:rPr>
          <w:bCs/>
          <w:sz w:val="24"/>
          <w:szCs w:val="24"/>
        </w:rPr>
        <w:t>Люлльман</w:t>
      </w:r>
      <w:proofErr w:type="spellEnd"/>
      <w:r w:rsidRPr="00DA208B">
        <w:rPr>
          <w:bCs/>
          <w:sz w:val="24"/>
          <w:szCs w:val="24"/>
        </w:rPr>
        <w:t>, К. Мор, Л. Хайн. - М.: Практическая медицина, 2016. - 384 c.</w:t>
      </w:r>
    </w:p>
    <w:p w14:paraId="6EC6C656" w14:textId="326DF446" w:rsidR="00DA208B" w:rsidRPr="00DA208B" w:rsidRDefault="00DA208B" w:rsidP="00DA208B">
      <w:pPr>
        <w:pStyle w:val="2"/>
        <w:tabs>
          <w:tab w:val="left" w:pos="851"/>
        </w:tabs>
        <w:ind w:firstLine="567"/>
        <w:jc w:val="both"/>
        <w:rPr>
          <w:bCs/>
          <w:sz w:val="24"/>
          <w:szCs w:val="24"/>
        </w:rPr>
      </w:pPr>
      <w:r w:rsidRPr="00DA208B">
        <w:rPr>
          <w:bCs/>
          <w:sz w:val="24"/>
          <w:szCs w:val="24"/>
        </w:rPr>
        <w:t xml:space="preserve">«Руководство по наркологии» под редакцией Н.Н. Иванца- М.: </w:t>
      </w:r>
      <w:proofErr w:type="spellStart"/>
      <w:r w:rsidRPr="00DA208B">
        <w:rPr>
          <w:bCs/>
          <w:sz w:val="24"/>
          <w:szCs w:val="24"/>
        </w:rPr>
        <w:t>Медпрактика</w:t>
      </w:r>
      <w:proofErr w:type="spellEnd"/>
      <w:r w:rsidRPr="00DA208B">
        <w:rPr>
          <w:bCs/>
          <w:sz w:val="24"/>
          <w:szCs w:val="24"/>
        </w:rPr>
        <w:t>-М, 2002, 444с. ISBN 5-901654-12-9</w:t>
      </w:r>
    </w:p>
    <w:p w14:paraId="09F4F60D" w14:textId="77777777" w:rsidR="00521DDA" w:rsidRPr="004C0E0F" w:rsidRDefault="00521DDA" w:rsidP="00DA208B">
      <w:pPr>
        <w:pStyle w:val="2"/>
        <w:tabs>
          <w:tab w:val="left" w:pos="851"/>
        </w:tabs>
        <w:jc w:val="both"/>
        <w:rPr>
          <w:b/>
          <w:sz w:val="24"/>
          <w:szCs w:val="24"/>
        </w:rPr>
      </w:pPr>
    </w:p>
    <w:p w14:paraId="158FFA76" w14:textId="77777777" w:rsidR="00521DDA" w:rsidRPr="00521DDA" w:rsidRDefault="00521DDA" w:rsidP="00521DDA">
      <w:pPr>
        <w:pStyle w:val="2"/>
        <w:tabs>
          <w:tab w:val="left" w:pos="851"/>
        </w:tabs>
        <w:ind w:firstLine="567"/>
        <w:jc w:val="both"/>
        <w:rPr>
          <w:sz w:val="24"/>
          <w:szCs w:val="24"/>
          <w:lang w:val="kk-KZ"/>
        </w:rPr>
      </w:pPr>
      <w:r w:rsidRPr="004C0E0F">
        <w:rPr>
          <w:b/>
          <w:sz w:val="24"/>
          <w:szCs w:val="24"/>
        </w:rPr>
        <w:t>8 Данные о р</w:t>
      </w:r>
      <w:r w:rsidRPr="00521DDA">
        <w:rPr>
          <w:b/>
          <w:sz w:val="24"/>
          <w:szCs w:val="24"/>
        </w:rPr>
        <w:t>азработчике и соисполнителях (контактные данные), сроках разработки проекта стандарта</w:t>
      </w:r>
    </w:p>
    <w:p w14:paraId="4F883B03" w14:textId="77777777" w:rsidR="00521DDA" w:rsidRPr="00521DDA" w:rsidRDefault="00521DDA" w:rsidP="00521DDA">
      <w:pPr>
        <w:pStyle w:val="31"/>
        <w:tabs>
          <w:tab w:val="left" w:pos="851"/>
        </w:tabs>
        <w:spacing w:after="0" w:line="240" w:lineRule="auto"/>
        <w:ind w:left="0"/>
        <w:jc w:val="both"/>
        <w:rPr>
          <w:rFonts w:ascii="Times New Roman" w:hAnsi="Times New Roman" w:cs="Times New Roman"/>
          <w:b/>
          <w:sz w:val="24"/>
          <w:szCs w:val="24"/>
        </w:rPr>
      </w:pPr>
    </w:p>
    <w:p w14:paraId="384CBA22" w14:textId="77777777" w:rsidR="00521DDA" w:rsidRPr="00521DDA" w:rsidRDefault="00521DDA" w:rsidP="00521DDA">
      <w:pPr>
        <w:pStyle w:val="31"/>
        <w:tabs>
          <w:tab w:val="left" w:pos="851"/>
        </w:tabs>
        <w:spacing w:after="0" w:line="240" w:lineRule="auto"/>
        <w:ind w:left="0" w:firstLine="567"/>
        <w:jc w:val="both"/>
        <w:rPr>
          <w:rFonts w:ascii="Times New Roman" w:hAnsi="Times New Roman" w:cs="Times New Roman"/>
          <w:b/>
          <w:sz w:val="24"/>
          <w:szCs w:val="24"/>
        </w:rPr>
      </w:pPr>
      <w:r w:rsidRPr="00521DDA">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26DFF227" w14:textId="77777777" w:rsidR="00515DB4" w:rsidRPr="00515DB4" w:rsidRDefault="00515DB4" w:rsidP="00515DB4">
      <w:pPr>
        <w:spacing w:after="0" w:line="240" w:lineRule="auto"/>
        <w:ind w:firstLine="539"/>
        <w:jc w:val="both"/>
        <w:rPr>
          <w:rFonts w:ascii="Times New Roman" w:hAnsi="Times New Roman" w:cs="Times New Roman"/>
          <w:sz w:val="24"/>
          <w:szCs w:val="24"/>
        </w:rPr>
      </w:pPr>
      <w:r w:rsidRPr="00515DB4">
        <w:rPr>
          <w:rFonts w:ascii="Times New Roman" w:hAnsi="Times New Roman" w:cs="Times New Roman"/>
          <w:sz w:val="24"/>
          <w:szCs w:val="24"/>
        </w:rPr>
        <w:t xml:space="preserve">010000, г. Астана, пр. </w:t>
      </w:r>
      <w:proofErr w:type="spellStart"/>
      <w:r w:rsidRPr="00515DB4">
        <w:rPr>
          <w:rFonts w:ascii="Times New Roman" w:hAnsi="Times New Roman" w:cs="Times New Roman"/>
          <w:sz w:val="24"/>
          <w:szCs w:val="24"/>
        </w:rPr>
        <w:t>Мангилик</w:t>
      </w:r>
      <w:proofErr w:type="spellEnd"/>
      <w:r w:rsidRPr="00515DB4">
        <w:rPr>
          <w:rFonts w:ascii="Times New Roman" w:hAnsi="Times New Roman" w:cs="Times New Roman"/>
          <w:sz w:val="24"/>
          <w:szCs w:val="24"/>
        </w:rPr>
        <w:t xml:space="preserve"> Ел, здание «Эталонный центр»</w:t>
      </w:r>
    </w:p>
    <w:p w14:paraId="1C452D05" w14:textId="7D31656B" w:rsidR="00521DDA" w:rsidRPr="00515DB4" w:rsidRDefault="00515DB4" w:rsidP="00515DB4">
      <w:pPr>
        <w:spacing w:after="0" w:line="240" w:lineRule="auto"/>
        <w:ind w:firstLine="539"/>
        <w:jc w:val="both"/>
        <w:rPr>
          <w:rFonts w:ascii="Times New Roman" w:hAnsi="Times New Roman" w:cs="Times New Roman"/>
          <w:b/>
          <w:sz w:val="24"/>
          <w:szCs w:val="24"/>
          <w:lang w:eastAsia="en-US"/>
        </w:rPr>
      </w:pPr>
      <w:r w:rsidRPr="00515DB4">
        <w:rPr>
          <w:rFonts w:ascii="Times New Roman" w:hAnsi="Times New Roman" w:cs="Times New Roman"/>
          <w:sz w:val="24"/>
          <w:szCs w:val="24"/>
        </w:rPr>
        <w:t>тел. +7 (7172) 28-29-46, е-</w:t>
      </w:r>
      <w:r w:rsidRPr="00515DB4">
        <w:rPr>
          <w:rFonts w:ascii="Times New Roman" w:hAnsi="Times New Roman" w:cs="Times New Roman"/>
          <w:sz w:val="24"/>
          <w:szCs w:val="24"/>
          <w:lang w:val="en-US"/>
        </w:rPr>
        <w:t>mail</w:t>
      </w:r>
      <w:r w:rsidRPr="00515DB4">
        <w:rPr>
          <w:rFonts w:ascii="Times New Roman" w:hAnsi="Times New Roman" w:cs="Times New Roman"/>
          <w:sz w:val="24"/>
          <w:szCs w:val="24"/>
        </w:rPr>
        <w:t xml:space="preserve">: </w:t>
      </w:r>
      <w:hyperlink r:id="rId4" w:history="1">
        <w:r w:rsidRPr="004359BB">
          <w:rPr>
            <w:rStyle w:val="a5"/>
            <w:rFonts w:ascii="Times New Roman" w:hAnsi="Times New Roman" w:cs="Times New Roman"/>
            <w:sz w:val="24"/>
            <w:szCs w:val="24"/>
            <w:lang w:val="en-US"/>
          </w:rPr>
          <w:t>g</w:t>
        </w:r>
        <w:r w:rsidRPr="00515DB4">
          <w:rPr>
            <w:rStyle w:val="a5"/>
            <w:rFonts w:ascii="Times New Roman" w:hAnsi="Times New Roman" w:cs="Times New Roman"/>
            <w:sz w:val="24"/>
            <w:szCs w:val="24"/>
          </w:rPr>
          <w:t>.</w:t>
        </w:r>
        <w:r w:rsidRPr="004359BB">
          <w:rPr>
            <w:rStyle w:val="a5"/>
            <w:rFonts w:ascii="Times New Roman" w:hAnsi="Times New Roman" w:cs="Times New Roman"/>
            <w:sz w:val="24"/>
            <w:szCs w:val="24"/>
            <w:lang w:val="en-US"/>
          </w:rPr>
          <w:t>nygmetolla</w:t>
        </w:r>
        <w:r w:rsidRPr="00515DB4">
          <w:rPr>
            <w:rStyle w:val="a5"/>
            <w:rFonts w:ascii="Times New Roman" w:hAnsi="Times New Roman" w:cs="Times New Roman"/>
            <w:sz w:val="24"/>
            <w:szCs w:val="24"/>
          </w:rPr>
          <w:t>@</w:t>
        </w:r>
        <w:r w:rsidRPr="004359BB">
          <w:rPr>
            <w:rStyle w:val="a5"/>
            <w:rFonts w:ascii="Times New Roman" w:hAnsi="Times New Roman" w:cs="Times New Roman"/>
            <w:sz w:val="24"/>
            <w:szCs w:val="24"/>
            <w:lang w:val="en-US"/>
          </w:rPr>
          <w:t>ksm</w:t>
        </w:r>
        <w:r w:rsidRPr="00515DB4">
          <w:rPr>
            <w:rStyle w:val="a5"/>
            <w:rFonts w:ascii="Times New Roman" w:hAnsi="Times New Roman" w:cs="Times New Roman"/>
            <w:sz w:val="24"/>
            <w:szCs w:val="24"/>
          </w:rPr>
          <w:t>.</w:t>
        </w:r>
        <w:proofErr w:type="spellStart"/>
        <w:r w:rsidRPr="004359BB">
          <w:rPr>
            <w:rStyle w:val="a5"/>
            <w:rFonts w:ascii="Times New Roman" w:hAnsi="Times New Roman" w:cs="Times New Roman"/>
            <w:sz w:val="24"/>
            <w:szCs w:val="24"/>
            <w:lang w:val="en-US"/>
          </w:rPr>
          <w:t>kz</w:t>
        </w:r>
        <w:proofErr w:type="spellEnd"/>
      </w:hyperlink>
      <w:r>
        <w:rPr>
          <w:rFonts w:ascii="Times New Roman" w:hAnsi="Times New Roman" w:cs="Times New Roman"/>
          <w:sz w:val="24"/>
          <w:szCs w:val="24"/>
        </w:rPr>
        <w:t xml:space="preserve"> </w:t>
      </w:r>
    </w:p>
    <w:p w14:paraId="24DCDC7B" w14:textId="77777777" w:rsidR="00521DDA" w:rsidRPr="00515DB4" w:rsidRDefault="00521DDA" w:rsidP="00521DDA">
      <w:pPr>
        <w:spacing w:after="0" w:line="240" w:lineRule="auto"/>
        <w:ind w:firstLine="539"/>
        <w:jc w:val="both"/>
        <w:rPr>
          <w:rFonts w:ascii="Times New Roman" w:hAnsi="Times New Roman" w:cs="Times New Roman"/>
          <w:b/>
          <w:sz w:val="24"/>
          <w:szCs w:val="24"/>
          <w:lang w:eastAsia="en-US"/>
        </w:rPr>
      </w:pPr>
    </w:p>
    <w:p w14:paraId="48030EFC" w14:textId="77777777" w:rsidR="00521DDA" w:rsidRPr="00515DB4" w:rsidRDefault="00521DDA" w:rsidP="00521DDA">
      <w:pPr>
        <w:pStyle w:val="a3"/>
        <w:ind w:firstLine="567"/>
        <w:rPr>
          <w:rFonts w:ascii="Times New Roman" w:hAnsi="Times New Roman" w:cs="Times New Roman"/>
          <w:b/>
          <w:sz w:val="24"/>
          <w:szCs w:val="24"/>
        </w:rPr>
      </w:pPr>
    </w:p>
    <w:p w14:paraId="3862AB25" w14:textId="77777777" w:rsidR="00521DDA" w:rsidRPr="00521DDA" w:rsidRDefault="00521DDA" w:rsidP="00521DDA">
      <w:pPr>
        <w:pStyle w:val="a3"/>
        <w:ind w:firstLine="567"/>
        <w:rPr>
          <w:rFonts w:ascii="Times New Roman" w:hAnsi="Times New Roman" w:cs="Times New Roman"/>
          <w:b/>
          <w:sz w:val="24"/>
          <w:szCs w:val="24"/>
        </w:rPr>
      </w:pPr>
      <w:r w:rsidRPr="00521DDA">
        <w:rPr>
          <w:rFonts w:ascii="Times New Roman" w:hAnsi="Times New Roman" w:cs="Times New Roman"/>
          <w:b/>
          <w:sz w:val="24"/>
          <w:szCs w:val="24"/>
        </w:rPr>
        <w:t>Заместитель</w:t>
      </w:r>
    </w:p>
    <w:p w14:paraId="3C4C7CDD" w14:textId="776740B9" w:rsidR="00521DDA" w:rsidRPr="00521DDA" w:rsidRDefault="00521DDA" w:rsidP="00521DDA">
      <w:pPr>
        <w:pStyle w:val="a3"/>
        <w:ind w:firstLine="567"/>
        <w:rPr>
          <w:rFonts w:ascii="Times New Roman" w:hAnsi="Times New Roman" w:cs="Times New Roman"/>
          <w:b/>
          <w:sz w:val="24"/>
          <w:szCs w:val="24"/>
        </w:rPr>
      </w:pPr>
      <w:r w:rsidRPr="00521DDA">
        <w:rPr>
          <w:rFonts w:ascii="Times New Roman" w:hAnsi="Times New Roman" w:cs="Times New Roman"/>
          <w:b/>
          <w:sz w:val="24"/>
          <w:szCs w:val="24"/>
        </w:rPr>
        <w:t xml:space="preserve">Генерального директора                                                             </w:t>
      </w:r>
      <w:r w:rsidR="006F70C6">
        <w:rPr>
          <w:rFonts w:ascii="Times New Roman" w:hAnsi="Times New Roman" w:cs="Times New Roman"/>
          <w:b/>
          <w:sz w:val="24"/>
          <w:szCs w:val="24"/>
        </w:rPr>
        <w:t>Е. Амирханова</w:t>
      </w: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2820"/>
        <w:gridCol w:w="2820"/>
      </w:tblGrid>
      <w:tr w:rsidR="00521DDA" w:rsidRPr="00521DDA" w14:paraId="00D1FBF4" w14:textId="77777777" w:rsidTr="002122D4">
        <w:tc>
          <w:tcPr>
            <w:tcW w:w="3715" w:type="dxa"/>
          </w:tcPr>
          <w:p w14:paraId="5D5EFCA1" w14:textId="77777777" w:rsidR="00521DDA" w:rsidRPr="00521DDA" w:rsidRDefault="00521DDA" w:rsidP="002122D4">
            <w:pPr>
              <w:pStyle w:val="a3"/>
              <w:jc w:val="center"/>
              <w:rPr>
                <w:rFonts w:ascii="Times New Roman" w:hAnsi="Times New Roman" w:cs="Times New Roman"/>
                <w:b/>
                <w:sz w:val="24"/>
                <w:szCs w:val="24"/>
                <w:lang w:eastAsia="en-US"/>
              </w:rPr>
            </w:pPr>
          </w:p>
        </w:tc>
        <w:tc>
          <w:tcPr>
            <w:tcW w:w="2820" w:type="dxa"/>
          </w:tcPr>
          <w:p w14:paraId="200E9E3B" w14:textId="77777777" w:rsidR="00521DDA" w:rsidRPr="00521DDA" w:rsidRDefault="00521DDA" w:rsidP="002122D4">
            <w:pPr>
              <w:pStyle w:val="a3"/>
              <w:jc w:val="right"/>
              <w:rPr>
                <w:rFonts w:ascii="Times New Roman" w:hAnsi="Times New Roman" w:cs="Times New Roman"/>
                <w:b/>
                <w:sz w:val="24"/>
                <w:szCs w:val="24"/>
                <w:lang w:eastAsia="en-US"/>
              </w:rPr>
            </w:pPr>
          </w:p>
        </w:tc>
        <w:tc>
          <w:tcPr>
            <w:tcW w:w="2820" w:type="dxa"/>
          </w:tcPr>
          <w:p w14:paraId="6BD90CEE" w14:textId="77777777" w:rsidR="00521DDA" w:rsidRPr="00521DDA" w:rsidRDefault="00521DDA" w:rsidP="002122D4">
            <w:pPr>
              <w:pStyle w:val="a3"/>
              <w:jc w:val="right"/>
              <w:rPr>
                <w:rFonts w:ascii="Times New Roman" w:hAnsi="Times New Roman" w:cs="Times New Roman"/>
                <w:b/>
                <w:sz w:val="24"/>
                <w:szCs w:val="24"/>
                <w:lang w:eastAsia="en-US"/>
              </w:rPr>
            </w:pPr>
          </w:p>
        </w:tc>
      </w:tr>
    </w:tbl>
    <w:p w14:paraId="12BB6BED" w14:textId="77777777" w:rsidR="0069277A" w:rsidRPr="00521DDA" w:rsidRDefault="0069277A">
      <w:pPr>
        <w:rPr>
          <w:rFonts w:ascii="Times New Roman" w:hAnsi="Times New Roman" w:cs="Times New Roman"/>
          <w:sz w:val="24"/>
          <w:szCs w:val="24"/>
        </w:rPr>
      </w:pPr>
    </w:p>
    <w:sectPr w:rsidR="0069277A" w:rsidRPr="00521D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EE0"/>
    <w:rsid w:val="00251016"/>
    <w:rsid w:val="00395883"/>
    <w:rsid w:val="004C0E0F"/>
    <w:rsid w:val="00515DB4"/>
    <w:rsid w:val="00521DDA"/>
    <w:rsid w:val="0053334B"/>
    <w:rsid w:val="005D027C"/>
    <w:rsid w:val="0069277A"/>
    <w:rsid w:val="006F70C6"/>
    <w:rsid w:val="007D0EE0"/>
    <w:rsid w:val="00873D01"/>
    <w:rsid w:val="008C2F03"/>
    <w:rsid w:val="00A9511B"/>
    <w:rsid w:val="00D74119"/>
    <w:rsid w:val="00DA208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96B6E"/>
  <w15:docId w15:val="{A0C4A921-9CC0-4324-B3F8-93C7CC34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DD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521DDA"/>
    <w:pPr>
      <w:spacing w:after="0" w:line="240" w:lineRule="auto"/>
      <w:jc w:val="center"/>
    </w:pPr>
    <w:rPr>
      <w:rFonts w:ascii="Times New Roman" w:eastAsia="Times New Roman" w:hAnsi="Times New Roman" w:cs="Times New Roman"/>
      <w:b/>
      <w:i/>
      <w:sz w:val="32"/>
      <w:szCs w:val="20"/>
    </w:rPr>
  </w:style>
  <w:style w:type="character" w:customStyle="1" w:styleId="30">
    <w:name w:val="Основной текст 3 Знак"/>
    <w:basedOn w:val="a0"/>
    <w:link w:val="3"/>
    <w:semiHidden/>
    <w:rsid w:val="00521DDA"/>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521DDA"/>
    <w:pPr>
      <w:spacing w:after="120"/>
      <w:ind w:left="283"/>
    </w:pPr>
    <w:rPr>
      <w:sz w:val="16"/>
      <w:szCs w:val="16"/>
    </w:rPr>
  </w:style>
  <w:style w:type="character" w:customStyle="1" w:styleId="32">
    <w:name w:val="Основной текст с отступом 3 Знак"/>
    <w:basedOn w:val="a0"/>
    <w:link w:val="31"/>
    <w:uiPriority w:val="99"/>
    <w:semiHidden/>
    <w:rsid w:val="00521DDA"/>
    <w:rPr>
      <w:rFonts w:eastAsiaTheme="minorEastAsia"/>
      <w:sz w:val="16"/>
      <w:szCs w:val="16"/>
      <w:lang w:eastAsia="ru-RU"/>
    </w:rPr>
  </w:style>
  <w:style w:type="paragraph" w:styleId="a3">
    <w:name w:val="No Spacing"/>
    <w:uiPriority w:val="1"/>
    <w:qFormat/>
    <w:rsid w:val="00521DDA"/>
    <w:pPr>
      <w:spacing w:after="0" w:line="240" w:lineRule="auto"/>
    </w:pPr>
    <w:rPr>
      <w:rFonts w:eastAsiaTheme="minorEastAsia"/>
      <w:lang w:eastAsia="ru-RU"/>
    </w:rPr>
  </w:style>
  <w:style w:type="paragraph" w:customStyle="1" w:styleId="1">
    <w:name w:val="Обычный1"/>
    <w:rsid w:val="00521DDA"/>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521DDA"/>
    <w:pPr>
      <w:snapToGrid w:val="0"/>
      <w:spacing w:after="0" w:line="240" w:lineRule="auto"/>
    </w:pPr>
    <w:rPr>
      <w:rFonts w:ascii="Times New Roman" w:eastAsia="Times New Roman" w:hAnsi="Times New Roman" w:cs="Times New Roman"/>
      <w:sz w:val="20"/>
      <w:szCs w:val="20"/>
      <w:lang w:eastAsia="ru-RU"/>
    </w:rPr>
  </w:style>
  <w:style w:type="table" w:styleId="a4">
    <w:name w:val="Table Grid"/>
    <w:basedOn w:val="a1"/>
    <w:uiPriority w:val="59"/>
    <w:rsid w:val="00521DD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251016"/>
    <w:rPr>
      <w:color w:val="0563C1" w:themeColor="hyperlink"/>
      <w:u w:val="single"/>
    </w:rPr>
  </w:style>
  <w:style w:type="character" w:styleId="a6">
    <w:name w:val="Unresolved Mention"/>
    <w:basedOn w:val="a0"/>
    <w:uiPriority w:val="99"/>
    <w:semiHidden/>
    <w:unhideWhenUsed/>
    <w:rsid w:val="00251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ygmetolla@ksm.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684</Words>
  <Characters>3904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Resp Office</cp:lastModifiedBy>
  <cp:revision>12</cp:revision>
  <dcterms:created xsi:type="dcterms:W3CDTF">2022-07-13T08:06:00Z</dcterms:created>
  <dcterms:modified xsi:type="dcterms:W3CDTF">2023-05-26T03:44:00Z</dcterms:modified>
</cp:coreProperties>
</file>